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44" w:rsidRDefault="00C21B44" w:rsidP="00BA3041">
      <w:pPr>
        <w:rPr>
          <w:rFonts w:ascii="Helvetica" w:hAnsi="Helvetica" w:cs="Helvetica"/>
          <w:sz w:val="18"/>
          <w:szCs w:val="18"/>
        </w:rPr>
      </w:pPr>
    </w:p>
    <w:p w:rsidR="00340F21" w:rsidRDefault="00340F21" w:rsidP="00BA3041">
      <w:pPr>
        <w:rPr>
          <w:rFonts w:ascii="Helvetica" w:hAnsi="Helvetica" w:cs="Helvetica"/>
          <w:sz w:val="18"/>
          <w:szCs w:val="18"/>
        </w:rPr>
      </w:pPr>
    </w:p>
    <w:p w:rsidR="00321BF4" w:rsidRDefault="00321BF4" w:rsidP="00BA3041">
      <w:pPr>
        <w:rPr>
          <w:rFonts w:ascii="Helvetica" w:hAnsi="Helvetica" w:cs="Helvetica"/>
          <w:sz w:val="18"/>
          <w:szCs w:val="18"/>
        </w:rPr>
      </w:pPr>
    </w:p>
    <w:p w:rsidR="00BB6A21" w:rsidRDefault="00BB6A21" w:rsidP="00BA3041">
      <w:pPr>
        <w:rPr>
          <w:rFonts w:ascii="Helvetica" w:hAnsi="Helvetica" w:cs="Helvetica"/>
          <w:sz w:val="18"/>
          <w:szCs w:val="18"/>
        </w:rPr>
      </w:pPr>
    </w:p>
    <w:p w:rsidR="00340F21" w:rsidRDefault="00340F21" w:rsidP="00BA3041">
      <w:pPr>
        <w:rPr>
          <w:rFonts w:ascii="Helvetica" w:hAnsi="Helvetica" w:cs="Helvetica"/>
          <w:sz w:val="18"/>
          <w:szCs w:val="18"/>
        </w:rPr>
      </w:pPr>
    </w:p>
    <w:p w:rsidR="003505AC" w:rsidRPr="00FC23FA" w:rsidRDefault="003505AC" w:rsidP="00FC23FA">
      <w:pPr>
        <w:jc w:val="center"/>
        <w:rPr>
          <w:rFonts w:ascii="Helvetica" w:hAnsi="Helvetica" w:cs="Helvetica"/>
          <w:b/>
          <w:sz w:val="18"/>
          <w:szCs w:val="18"/>
        </w:rPr>
      </w:pPr>
      <w:r w:rsidRPr="00FC23FA">
        <w:rPr>
          <w:rFonts w:ascii="Helvetica" w:hAnsi="Helvetica" w:cs="Helvetica"/>
          <w:b/>
          <w:sz w:val="18"/>
          <w:szCs w:val="18"/>
        </w:rPr>
        <w:t>The Value of Tax Deferral</w:t>
      </w:r>
    </w:p>
    <w:p w:rsidR="003505AC" w:rsidRDefault="003505AC" w:rsidP="00BA3041">
      <w:pPr>
        <w:rPr>
          <w:rFonts w:ascii="Helvetica" w:hAnsi="Helvetica" w:cs="Helvetica"/>
          <w:sz w:val="18"/>
          <w:szCs w:val="18"/>
        </w:rPr>
      </w:pPr>
    </w:p>
    <w:p w:rsidR="003505AC" w:rsidRDefault="003505AC" w:rsidP="00FC23FA">
      <w:pPr>
        <w:jc w:val="center"/>
        <w:rPr>
          <w:rFonts w:ascii="Helvetica" w:hAnsi="Helvetica" w:cs="Helvetica"/>
          <w:b/>
          <w:sz w:val="18"/>
          <w:szCs w:val="18"/>
        </w:rPr>
      </w:pPr>
      <w:r w:rsidRPr="00FC23FA">
        <w:rPr>
          <w:rFonts w:ascii="Helvetica" w:hAnsi="Helvetica" w:cs="Helvetica"/>
          <w:b/>
          <w:sz w:val="18"/>
          <w:szCs w:val="18"/>
        </w:rPr>
        <w:t xml:space="preserve">The Cost of $100,000 </w:t>
      </w:r>
      <w:r w:rsidR="00932BF1">
        <w:rPr>
          <w:rFonts w:ascii="Helvetica" w:hAnsi="Helvetica" w:cs="Helvetica"/>
          <w:b/>
          <w:sz w:val="18"/>
          <w:szCs w:val="18"/>
        </w:rPr>
        <w:t>of</w:t>
      </w:r>
      <w:r w:rsidRPr="00FC23FA">
        <w:rPr>
          <w:rFonts w:ascii="Helvetica" w:hAnsi="Helvetica" w:cs="Helvetica"/>
          <w:b/>
          <w:sz w:val="18"/>
          <w:szCs w:val="18"/>
        </w:rPr>
        <w:t xml:space="preserve"> </w:t>
      </w:r>
      <w:r w:rsidR="00FC23FA">
        <w:rPr>
          <w:rFonts w:ascii="Helvetica" w:hAnsi="Helvetica" w:cs="Helvetica"/>
          <w:b/>
          <w:sz w:val="18"/>
          <w:szCs w:val="18"/>
        </w:rPr>
        <w:t>Tax</w:t>
      </w:r>
      <w:r w:rsidR="00932BF1">
        <w:rPr>
          <w:rFonts w:ascii="Helvetica" w:hAnsi="Helvetica" w:cs="Helvetica"/>
          <w:b/>
          <w:sz w:val="18"/>
          <w:szCs w:val="18"/>
        </w:rPr>
        <w:t xml:space="preserve">es Paid Today vs. Paying Then in </w:t>
      </w:r>
      <w:r w:rsidR="00FC23FA">
        <w:rPr>
          <w:rFonts w:ascii="Helvetica" w:hAnsi="Helvetica" w:cs="Helvetica"/>
          <w:b/>
          <w:sz w:val="18"/>
          <w:szCs w:val="18"/>
        </w:rPr>
        <w:t>30 Years</w:t>
      </w:r>
    </w:p>
    <w:p w:rsidR="00182281" w:rsidRPr="00FC23FA" w:rsidRDefault="00182281" w:rsidP="00FC23FA">
      <w:pPr>
        <w:jc w:val="center"/>
        <w:rPr>
          <w:rFonts w:ascii="Helvetica" w:hAnsi="Helvetica" w:cs="Helvetica"/>
          <w:b/>
          <w:sz w:val="18"/>
          <w:szCs w:val="18"/>
        </w:rPr>
      </w:pPr>
    </w:p>
    <w:p w:rsidR="003505AC" w:rsidRDefault="00182281" w:rsidP="00BA3041">
      <w:pPr>
        <w:rPr>
          <w:rFonts w:ascii="Helvetica" w:hAnsi="Helvetica" w:cs="Helvetica"/>
          <w:sz w:val="18"/>
          <w:szCs w:val="18"/>
        </w:rPr>
      </w:pPr>
      <w:r>
        <w:rPr>
          <w:rFonts w:ascii="Helvetica" w:hAnsi="Helvetica" w:cs="Helvetica"/>
          <w:sz w:val="18"/>
          <w:szCs w:val="18"/>
        </w:rPr>
        <w:t>Every day for a semester my law professor would say, “Taxes deferred are taxes avoided”.</w:t>
      </w:r>
    </w:p>
    <w:p w:rsidR="00182281" w:rsidRDefault="00182281" w:rsidP="00BA3041">
      <w:pPr>
        <w:rPr>
          <w:rFonts w:ascii="Helvetica" w:hAnsi="Helvetica" w:cs="Helvetica"/>
          <w:sz w:val="18"/>
          <w:szCs w:val="18"/>
        </w:rPr>
      </w:pPr>
    </w:p>
    <w:p w:rsidR="00182281" w:rsidRDefault="00182281" w:rsidP="00BA3041">
      <w:pPr>
        <w:rPr>
          <w:rFonts w:ascii="Helvetica" w:hAnsi="Helvetica" w:cs="Helvetica"/>
          <w:sz w:val="18"/>
          <w:szCs w:val="18"/>
        </w:rPr>
      </w:pPr>
      <w:r>
        <w:rPr>
          <w:rFonts w:ascii="Helvetica" w:hAnsi="Helvetica" w:cs="Helvetica"/>
          <w:sz w:val="18"/>
          <w:szCs w:val="18"/>
        </w:rPr>
        <w:t>This may not seem intuitive since taxes ultimately have to be paid.  However, when you take into account the present value of paying tax today versus the present value of paying tax in the future, the truth of this statement is clear.</w:t>
      </w:r>
    </w:p>
    <w:p w:rsidR="00182281" w:rsidRDefault="00182281" w:rsidP="00BA3041">
      <w:pPr>
        <w:rPr>
          <w:rFonts w:ascii="Helvetica" w:hAnsi="Helvetica" w:cs="Helvetica"/>
          <w:sz w:val="18"/>
          <w:szCs w:val="18"/>
        </w:rPr>
      </w:pPr>
    </w:p>
    <w:p w:rsidR="00182281" w:rsidRDefault="00182281" w:rsidP="00BA3041">
      <w:pPr>
        <w:rPr>
          <w:rFonts w:ascii="Helvetica" w:hAnsi="Helvetica" w:cs="Helvetica"/>
          <w:sz w:val="18"/>
          <w:szCs w:val="18"/>
        </w:rPr>
      </w:pPr>
      <w:r>
        <w:rPr>
          <w:rFonts w:ascii="Helvetica" w:hAnsi="Helvetica" w:cs="Helvetica"/>
          <w:sz w:val="18"/>
          <w:szCs w:val="18"/>
        </w:rPr>
        <w:t xml:space="preserve">Below is a comparison of the present value of </w:t>
      </w:r>
      <w:r w:rsidR="003505AC">
        <w:rPr>
          <w:rFonts w:ascii="Helvetica" w:hAnsi="Helvetica" w:cs="Helvetica"/>
          <w:sz w:val="18"/>
          <w:szCs w:val="18"/>
        </w:rPr>
        <w:t>$100,000</w:t>
      </w:r>
      <w:r>
        <w:rPr>
          <w:rFonts w:ascii="Helvetica" w:hAnsi="Helvetica" w:cs="Helvetica"/>
          <w:sz w:val="18"/>
          <w:szCs w:val="18"/>
        </w:rPr>
        <w:t xml:space="preserve"> (and its subsequent growth) versus the present value of deferring the tax and paying it in 30 years (assuming an inflation rate of 3% and investment returns of 7% net).  </w:t>
      </w:r>
    </w:p>
    <w:p w:rsidR="00182281" w:rsidRDefault="00182281" w:rsidP="00BA3041">
      <w:pPr>
        <w:rPr>
          <w:rFonts w:ascii="Helvetica" w:hAnsi="Helvetica" w:cs="Helvetica"/>
          <w:sz w:val="18"/>
          <w:szCs w:val="18"/>
        </w:rPr>
      </w:pPr>
    </w:p>
    <w:p w:rsidR="00935AA8" w:rsidRDefault="00182281" w:rsidP="00BA3041">
      <w:pPr>
        <w:jc w:val="center"/>
        <w:rPr>
          <w:rStyle w:val="Strong"/>
          <w:rFonts w:ascii="Helvetica" w:hAnsi="Helvetica" w:cs="Helvetica"/>
          <w:color w:val="000000"/>
          <w:sz w:val="18"/>
          <w:szCs w:val="18"/>
          <w:shd w:val="clear" w:color="auto" w:fill="FFFFFF"/>
        </w:rPr>
      </w:pPr>
      <w:r w:rsidRPr="00182281">
        <w:rPr>
          <w:rFonts w:ascii="Helvetica" w:hAnsi="Helvetica" w:cs="Helvetica"/>
          <w:b/>
          <w:sz w:val="18"/>
          <w:szCs w:val="18"/>
        </w:rPr>
        <w:t>The Value of Tax Deferral</w:t>
      </w:r>
    </w:p>
    <w:p w:rsidR="00935AA8" w:rsidRDefault="00935AA8" w:rsidP="00BA3041">
      <w:pPr>
        <w:jc w:val="center"/>
        <w:rPr>
          <w:rStyle w:val="Strong"/>
          <w:rFonts w:ascii="Helvetica" w:hAnsi="Helvetica" w:cs="Helvetica"/>
          <w:color w:val="000000"/>
          <w:sz w:val="18"/>
          <w:szCs w:val="18"/>
          <w:shd w:val="clear" w:color="auto" w:fill="FFFFFF"/>
        </w:rPr>
      </w:pPr>
    </w:p>
    <w:p w:rsidR="00340F21" w:rsidRPr="00321BF4" w:rsidRDefault="00340F21" w:rsidP="00321BF4">
      <w:pPr>
        <w:rPr>
          <w:rFonts w:ascii="Helvetica" w:hAnsi="Helvetica" w:cs="Helvetica"/>
          <w:sz w:val="18"/>
          <w:szCs w:val="18"/>
        </w:rPr>
      </w:pPr>
      <w:r w:rsidRPr="00340F21">
        <w:rPr>
          <w:rStyle w:val="Strong"/>
          <w:rFonts w:ascii="Helvetica" w:hAnsi="Helvetica" w:cs="Helvetica"/>
          <w:noProof/>
          <w:color w:val="000000"/>
          <w:sz w:val="18"/>
          <w:szCs w:val="18"/>
          <w:shd w:val="clear" w:color="auto" w:fill="FFFFFF"/>
        </w:rPr>
        <w:drawing>
          <wp:inline distT="0" distB="0" distL="0" distR="0">
            <wp:extent cx="6153150" cy="230886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041" w:rsidRDefault="00182281" w:rsidP="00A412B4">
      <w:pPr>
        <w:pStyle w:val="NormalWeb"/>
        <w:shd w:val="clear" w:color="auto" w:fill="FFFFFF"/>
        <w:spacing w:line="168" w:lineRule="atLeast"/>
        <w:rPr>
          <w:rFonts w:ascii="Helvetica" w:hAnsi="Helvetica" w:cs="Helvetica"/>
          <w:color w:val="000000"/>
          <w:sz w:val="18"/>
          <w:szCs w:val="18"/>
        </w:rPr>
      </w:pPr>
      <w:r>
        <w:rPr>
          <w:rFonts w:ascii="Helvetica" w:hAnsi="Helvetica" w:cs="Helvetica"/>
          <w:color w:val="000000"/>
          <w:sz w:val="18"/>
          <w:szCs w:val="18"/>
        </w:rPr>
        <w:t>Th</w:t>
      </w:r>
      <w:r w:rsidR="00A412B4">
        <w:rPr>
          <w:rFonts w:ascii="Helvetica" w:hAnsi="Helvetica" w:cs="Helvetica"/>
          <w:color w:val="000000"/>
          <w:sz w:val="18"/>
          <w:szCs w:val="18"/>
        </w:rPr>
        <w:t xml:space="preserve">e value of such deferral can impact not only the end </w:t>
      </w:r>
      <w:r w:rsidR="00321BF4">
        <w:rPr>
          <w:rFonts w:ascii="Helvetica" w:hAnsi="Helvetica" w:cs="Helvetica"/>
          <w:color w:val="000000"/>
          <w:sz w:val="18"/>
          <w:szCs w:val="18"/>
        </w:rPr>
        <w:t>balance of an investor’s account; it may also offer much greater access to investments in the first place.</w:t>
      </w:r>
    </w:p>
    <w:p w:rsidR="00321BF4" w:rsidRDefault="00321BF4" w:rsidP="00A412B4">
      <w:pPr>
        <w:pStyle w:val="NormalWeb"/>
        <w:shd w:val="clear" w:color="auto" w:fill="FFFFFF"/>
        <w:spacing w:line="168" w:lineRule="atLeast"/>
        <w:rPr>
          <w:rFonts w:ascii="Helvetica" w:hAnsi="Helvetica" w:cs="Helvetica"/>
          <w:color w:val="000000"/>
          <w:sz w:val="18"/>
          <w:szCs w:val="18"/>
        </w:rPr>
      </w:pPr>
      <w:r>
        <w:rPr>
          <w:rFonts w:ascii="Helvetica" w:hAnsi="Helvetica" w:cs="Helvetica"/>
          <w:color w:val="000000"/>
          <w:sz w:val="18"/>
          <w:szCs w:val="18"/>
        </w:rPr>
        <w:t xml:space="preserve">Many years ago I had a client who had recently been laid off and was given an approximately $1,000,000 severance package.  Instead of paying tax immediately on this amount he was able to deferred it for a couple of years and </w:t>
      </w:r>
      <w:r w:rsidR="00AB3711">
        <w:rPr>
          <w:rFonts w:ascii="Helvetica" w:hAnsi="Helvetica" w:cs="Helvetica"/>
          <w:color w:val="000000"/>
          <w:sz w:val="18"/>
          <w:szCs w:val="18"/>
        </w:rPr>
        <w:t>re</w:t>
      </w:r>
      <w:r w:rsidR="00485B2B">
        <w:rPr>
          <w:rFonts w:ascii="Helvetica" w:hAnsi="Helvetica" w:cs="Helvetica"/>
          <w:color w:val="000000"/>
          <w:sz w:val="18"/>
          <w:szCs w:val="18"/>
        </w:rPr>
        <w:t>-</w:t>
      </w:r>
      <w:r w:rsidR="00AB3711">
        <w:rPr>
          <w:rFonts w:ascii="Helvetica" w:hAnsi="Helvetica" w:cs="Helvetica"/>
          <w:color w:val="000000"/>
          <w:sz w:val="18"/>
          <w:szCs w:val="18"/>
        </w:rPr>
        <w:t xml:space="preserve">invest it alongside institutional investors in his start up venture.  Without this downpayment his investors would not have co-invested with him as he lacked proportionate ‘skin in the game’ </w:t>
      </w:r>
      <w:r w:rsidR="00485B2B">
        <w:rPr>
          <w:rFonts w:ascii="Helvetica" w:hAnsi="Helvetica" w:cs="Helvetica"/>
          <w:color w:val="000000"/>
          <w:sz w:val="18"/>
          <w:szCs w:val="18"/>
        </w:rPr>
        <w:t xml:space="preserve">that they </w:t>
      </w:r>
      <w:r w:rsidR="00AB3711">
        <w:rPr>
          <w:rFonts w:ascii="Helvetica" w:hAnsi="Helvetica" w:cs="Helvetica"/>
          <w:color w:val="000000"/>
          <w:sz w:val="18"/>
          <w:szCs w:val="18"/>
        </w:rPr>
        <w:t>had.</w:t>
      </w:r>
    </w:p>
    <w:p w:rsidR="00AB3711" w:rsidRPr="00A412B4" w:rsidRDefault="00AB3711" w:rsidP="00A412B4">
      <w:pPr>
        <w:pStyle w:val="NormalWeb"/>
        <w:shd w:val="clear" w:color="auto" w:fill="FFFFFF"/>
        <w:spacing w:line="168" w:lineRule="atLeast"/>
        <w:rPr>
          <w:rFonts w:ascii="Helvetica" w:hAnsi="Helvetica" w:cs="Helvetica"/>
          <w:color w:val="000000"/>
          <w:sz w:val="18"/>
          <w:szCs w:val="18"/>
        </w:rPr>
      </w:pPr>
      <w:r>
        <w:rPr>
          <w:rFonts w:ascii="Helvetica" w:hAnsi="Helvetica" w:cs="Helvetica"/>
          <w:color w:val="000000"/>
          <w:sz w:val="18"/>
          <w:szCs w:val="18"/>
        </w:rPr>
        <w:t xml:space="preserve">The investment went well for the client; the deferral period ended, he paid his tax but continued his work in the start up.  Fifteen years later this company is a multi-billion dollar multi-national company </w:t>
      </w:r>
      <w:r w:rsidR="00687388">
        <w:rPr>
          <w:rFonts w:ascii="Helvetica" w:hAnsi="Helvetica" w:cs="Helvetica"/>
          <w:color w:val="000000"/>
          <w:sz w:val="18"/>
          <w:szCs w:val="18"/>
        </w:rPr>
        <w:t xml:space="preserve">(you have heard of it) and the client is the CEO - </w:t>
      </w:r>
      <w:r>
        <w:rPr>
          <w:rFonts w:ascii="Helvetica" w:hAnsi="Helvetica" w:cs="Helvetica"/>
          <w:color w:val="000000"/>
          <w:sz w:val="18"/>
          <w:szCs w:val="18"/>
        </w:rPr>
        <w:t>something that the client never would not have had access to without the benefits of tax deferral.</w:t>
      </w:r>
    </w:p>
    <w:sectPr w:rsidR="00AB3711" w:rsidRPr="00A412B4" w:rsidSect="001517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Borders w:offsetFrom="page">
        <w:top w:val="single" w:sz="4" w:space="24" w:color="062428" w:themeColor="background2" w:themeShade="1A"/>
        <w:left w:val="single" w:sz="4" w:space="24" w:color="062428" w:themeColor="background2" w:themeShade="1A"/>
        <w:bottom w:val="single" w:sz="4" w:space="24" w:color="062428" w:themeColor="background2" w:themeShade="1A"/>
        <w:right w:val="single" w:sz="4" w:space="24" w:color="062428" w:themeColor="background2" w:themeShade="1A"/>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8D" w:rsidRPr="00343477" w:rsidRDefault="00AD228D" w:rsidP="00DE7CFA">
      <w:pPr>
        <w:rPr>
          <w:rFonts w:asciiTheme="minorHAnsi" w:eastAsiaTheme="minorHAnsi" w:hAnsiTheme="minorHAnsi" w:cstheme="minorBidi"/>
          <w:sz w:val="22"/>
          <w:szCs w:val="22"/>
        </w:rPr>
      </w:pPr>
      <w:r>
        <w:separator/>
      </w:r>
    </w:p>
  </w:endnote>
  <w:endnote w:type="continuationSeparator" w:id="0">
    <w:p w:rsidR="00AD228D" w:rsidRPr="00343477" w:rsidRDefault="00AD228D" w:rsidP="00DE7CFA">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6" w:rsidRDefault="006F7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6" w:rsidRDefault="006F7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6" w:rsidRDefault="006F7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8D" w:rsidRPr="00343477" w:rsidRDefault="00AD228D" w:rsidP="00DE7CFA">
      <w:pPr>
        <w:rPr>
          <w:rFonts w:asciiTheme="minorHAnsi" w:eastAsiaTheme="minorHAnsi" w:hAnsiTheme="minorHAnsi" w:cstheme="minorBidi"/>
          <w:sz w:val="22"/>
          <w:szCs w:val="22"/>
        </w:rPr>
      </w:pPr>
      <w:r>
        <w:separator/>
      </w:r>
    </w:p>
  </w:footnote>
  <w:footnote w:type="continuationSeparator" w:id="0">
    <w:p w:rsidR="00AD228D" w:rsidRPr="00343477" w:rsidRDefault="00AD228D" w:rsidP="00DE7CFA">
      <w:pP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6" w:rsidRDefault="006F7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E2" w:rsidRPr="006F77E6" w:rsidRDefault="006F77E6" w:rsidP="003A4C95">
    <w:pPr>
      <w:pStyle w:val="Header"/>
      <w:jc w:val="center"/>
      <w:rPr>
        <w:b/>
      </w:rPr>
    </w:pPr>
    <w:r w:rsidRPr="006F77E6">
      <w:rPr>
        <w:b/>
        <w:noProof/>
      </w:rPr>
      <w:drawing>
        <wp:inline distT="0" distB="0" distL="0" distR="0">
          <wp:extent cx="1527810" cy="640080"/>
          <wp:effectExtent l="19050" t="0" r="0" b="0"/>
          <wp:docPr id="2" name="Picture 1" descr="liquid capital part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 capital partners logo.jpg"/>
                  <pic:cNvPicPr/>
                </pic:nvPicPr>
                <pic:blipFill>
                  <a:blip r:embed="rId1"/>
                  <a:srcRect t="19259" b="18519"/>
                  <a:stretch>
                    <a:fillRect/>
                  </a:stretch>
                </pic:blipFill>
                <pic:spPr>
                  <a:xfrm>
                    <a:off x="0" y="0"/>
                    <a:ext cx="1527810" cy="6400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E6" w:rsidRDefault="006F7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437"/>
    <w:multiLevelType w:val="hybridMultilevel"/>
    <w:tmpl w:val="0FDCB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B2E292">
      <w:start w:val="1"/>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87AE8"/>
    <w:multiLevelType w:val="hybridMultilevel"/>
    <w:tmpl w:val="C9E2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0644E"/>
    <w:multiLevelType w:val="hybridMultilevel"/>
    <w:tmpl w:val="8856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D5184"/>
    <w:multiLevelType w:val="hybridMultilevel"/>
    <w:tmpl w:val="E794D3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31730"/>
    <w:multiLevelType w:val="hybridMultilevel"/>
    <w:tmpl w:val="B52E1C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F0B28"/>
    <w:multiLevelType w:val="hybridMultilevel"/>
    <w:tmpl w:val="10E2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041F5"/>
    <w:multiLevelType w:val="hybridMultilevel"/>
    <w:tmpl w:val="2418F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FE713A"/>
    <w:multiLevelType w:val="hybridMultilevel"/>
    <w:tmpl w:val="0570FB3E"/>
    <w:lvl w:ilvl="0" w:tplc="36C2006E">
      <w:start w:val="1"/>
      <w:numFmt w:val="decimal"/>
      <w:lvlText w:val="%1."/>
      <w:lvlJc w:val="left"/>
      <w:pPr>
        <w:ind w:left="1440" w:hanging="720"/>
      </w:pPr>
      <w:rPr>
        <w:rFonts w:hint="default"/>
      </w:rPr>
    </w:lvl>
    <w:lvl w:ilvl="1" w:tplc="FB5A600A">
      <w:start w:val="1"/>
      <w:numFmt w:val="lowerLetter"/>
      <w:lvlText w:val="%2."/>
      <w:lvlJc w:val="left"/>
      <w:pPr>
        <w:ind w:left="1800" w:hanging="360"/>
      </w:pPr>
    </w:lvl>
    <w:lvl w:ilvl="2" w:tplc="D5DABE78">
      <w:start w:val="1"/>
      <w:numFmt w:val="lowerRoman"/>
      <w:lvlText w:val="%3."/>
      <w:lvlJc w:val="right"/>
      <w:pPr>
        <w:ind w:left="2520" w:hanging="180"/>
      </w:pPr>
    </w:lvl>
    <w:lvl w:ilvl="3" w:tplc="770EDE08">
      <w:start w:val="1"/>
      <w:numFmt w:val="decimal"/>
      <w:lvlText w:val="%4."/>
      <w:lvlJc w:val="left"/>
      <w:pPr>
        <w:ind w:left="3240" w:hanging="360"/>
      </w:pPr>
    </w:lvl>
    <w:lvl w:ilvl="4" w:tplc="5468B338">
      <w:start w:val="1"/>
      <w:numFmt w:val="lowerLetter"/>
      <w:lvlText w:val="%5."/>
      <w:lvlJc w:val="left"/>
      <w:pPr>
        <w:ind w:left="3960" w:hanging="360"/>
      </w:pPr>
    </w:lvl>
    <w:lvl w:ilvl="5" w:tplc="F6C0ECA2">
      <w:start w:val="1"/>
      <w:numFmt w:val="lowerRoman"/>
      <w:lvlText w:val="%6."/>
      <w:lvlJc w:val="right"/>
      <w:pPr>
        <w:ind w:left="4680" w:hanging="180"/>
      </w:pPr>
    </w:lvl>
    <w:lvl w:ilvl="6" w:tplc="88F80694">
      <w:start w:val="1"/>
      <w:numFmt w:val="decimal"/>
      <w:lvlText w:val="%7."/>
      <w:lvlJc w:val="left"/>
      <w:pPr>
        <w:ind w:left="5400" w:hanging="360"/>
      </w:pPr>
    </w:lvl>
    <w:lvl w:ilvl="7" w:tplc="96E8E5D6">
      <w:start w:val="1"/>
      <w:numFmt w:val="lowerLetter"/>
      <w:lvlText w:val="%8."/>
      <w:lvlJc w:val="left"/>
      <w:pPr>
        <w:ind w:left="6120" w:hanging="360"/>
      </w:pPr>
    </w:lvl>
    <w:lvl w:ilvl="8" w:tplc="EC92521A">
      <w:start w:val="1"/>
      <w:numFmt w:val="lowerRoman"/>
      <w:lvlText w:val="%9."/>
      <w:lvlJc w:val="right"/>
      <w:pPr>
        <w:ind w:left="6840" w:hanging="180"/>
      </w:pPr>
    </w:lvl>
  </w:abstractNum>
  <w:abstractNum w:abstractNumId="8">
    <w:nsid w:val="3FEC055E"/>
    <w:multiLevelType w:val="multilevel"/>
    <w:tmpl w:val="8708D6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4014136D"/>
    <w:multiLevelType w:val="hybridMultilevel"/>
    <w:tmpl w:val="F5A2F900"/>
    <w:styleLink w:val="Numbered"/>
    <w:lvl w:ilvl="0" w:tplc="1B063B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0DB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828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50C9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624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E92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78E2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9A717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CA294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93D7638"/>
    <w:multiLevelType w:val="hybridMultilevel"/>
    <w:tmpl w:val="3A52A9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D7A87"/>
    <w:multiLevelType w:val="hybridMultilevel"/>
    <w:tmpl w:val="908CD93C"/>
    <w:lvl w:ilvl="0" w:tplc="0409000F">
      <w:start w:val="1"/>
      <w:numFmt w:val="decimal"/>
      <w:lvlText w:val="%1."/>
      <w:lvlJc w:val="left"/>
      <w:pPr>
        <w:ind w:left="720" w:hanging="360"/>
      </w:pPr>
      <w:rPr>
        <w:rFonts w:hint="default"/>
      </w:rPr>
    </w:lvl>
    <w:lvl w:ilvl="1" w:tplc="76B0DD48">
      <w:start w:val="1"/>
      <w:numFmt w:val="lowerLetter"/>
      <w:lvlText w:val="%2."/>
      <w:lvlJc w:val="left"/>
      <w:pPr>
        <w:ind w:left="1440" w:hanging="360"/>
      </w:pPr>
      <w:rPr>
        <w:rFonts w:ascii="Helvetica" w:eastAsia="Arial Unicode MS" w:hAnsi="Helvetica" w:cs="Arial Unicode M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20D1F"/>
    <w:multiLevelType w:val="hybridMultilevel"/>
    <w:tmpl w:val="D268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26908"/>
    <w:multiLevelType w:val="hybridMultilevel"/>
    <w:tmpl w:val="F5A2F900"/>
    <w:numStyleLink w:val="Numbered"/>
  </w:abstractNum>
  <w:abstractNum w:abstractNumId="14">
    <w:nsid w:val="6656321C"/>
    <w:multiLevelType w:val="hybridMultilevel"/>
    <w:tmpl w:val="294C8C6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93E95"/>
    <w:multiLevelType w:val="hybridMultilevel"/>
    <w:tmpl w:val="770A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E6788"/>
    <w:multiLevelType w:val="hybridMultilevel"/>
    <w:tmpl w:val="C1D807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1"/>
  </w:num>
  <w:num w:numId="5">
    <w:abstractNumId w:val="1"/>
  </w:num>
  <w:num w:numId="6">
    <w:abstractNumId w:val="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7"/>
  </w:num>
  <w:num w:numId="14">
    <w:abstractNumId w:val="3"/>
  </w:num>
  <w:num w:numId="15">
    <w:abstractNumId w:val="10"/>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21506">
      <o:colormru v:ext="edit" colors="#0e0b23"/>
      <o:colormenu v:ext="edit" fillcolor="none [1604]"/>
    </o:shapedefaults>
  </w:hdrShapeDefaults>
  <w:footnotePr>
    <w:footnote w:id="-1"/>
    <w:footnote w:id="0"/>
  </w:footnotePr>
  <w:endnotePr>
    <w:endnote w:id="-1"/>
    <w:endnote w:id="0"/>
  </w:endnotePr>
  <w:compat>
    <w:useFELayout/>
  </w:compat>
  <w:rsids>
    <w:rsidRoot w:val="00DE7CFA"/>
    <w:rsid w:val="0000327A"/>
    <w:rsid w:val="00092E16"/>
    <w:rsid w:val="000A265B"/>
    <w:rsid w:val="000D32E1"/>
    <w:rsid w:val="001416C3"/>
    <w:rsid w:val="00151716"/>
    <w:rsid w:val="00182281"/>
    <w:rsid w:val="001857C6"/>
    <w:rsid w:val="00200AE6"/>
    <w:rsid w:val="00245E88"/>
    <w:rsid w:val="00306CB8"/>
    <w:rsid w:val="00321BF4"/>
    <w:rsid w:val="00340F21"/>
    <w:rsid w:val="003505AC"/>
    <w:rsid w:val="00357B68"/>
    <w:rsid w:val="003774F3"/>
    <w:rsid w:val="00386123"/>
    <w:rsid w:val="003A4409"/>
    <w:rsid w:val="003A4C95"/>
    <w:rsid w:val="0041408B"/>
    <w:rsid w:val="00421B9A"/>
    <w:rsid w:val="00450FE7"/>
    <w:rsid w:val="00485B2B"/>
    <w:rsid w:val="0059541B"/>
    <w:rsid w:val="00600307"/>
    <w:rsid w:val="0063016A"/>
    <w:rsid w:val="0065462D"/>
    <w:rsid w:val="00687388"/>
    <w:rsid w:val="006B6362"/>
    <w:rsid w:val="006D7B5F"/>
    <w:rsid w:val="006F08D7"/>
    <w:rsid w:val="006F77E6"/>
    <w:rsid w:val="00703562"/>
    <w:rsid w:val="00713BF9"/>
    <w:rsid w:val="0079642E"/>
    <w:rsid w:val="007D301C"/>
    <w:rsid w:val="007D413C"/>
    <w:rsid w:val="007E6C6E"/>
    <w:rsid w:val="007F1FDD"/>
    <w:rsid w:val="007F6E4E"/>
    <w:rsid w:val="008328D9"/>
    <w:rsid w:val="00850B33"/>
    <w:rsid w:val="00855C93"/>
    <w:rsid w:val="008B0740"/>
    <w:rsid w:val="00932BF1"/>
    <w:rsid w:val="00935AA8"/>
    <w:rsid w:val="009917B1"/>
    <w:rsid w:val="00A17D95"/>
    <w:rsid w:val="00A412B4"/>
    <w:rsid w:val="00A43537"/>
    <w:rsid w:val="00A700D9"/>
    <w:rsid w:val="00A92322"/>
    <w:rsid w:val="00A95888"/>
    <w:rsid w:val="00AB3711"/>
    <w:rsid w:val="00AD228D"/>
    <w:rsid w:val="00B35CA2"/>
    <w:rsid w:val="00B45CE2"/>
    <w:rsid w:val="00B602A3"/>
    <w:rsid w:val="00B62B69"/>
    <w:rsid w:val="00B7325A"/>
    <w:rsid w:val="00B93665"/>
    <w:rsid w:val="00BA3041"/>
    <w:rsid w:val="00BB28FD"/>
    <w:rsid w:val="00BB5515"/>
    <w:rsid w:val="00BB6A21"/>
    <w:rsid w:val="00BC2C57"/>
    <w:rsid w:val="00BE5608"/>
    <w:rsid w:val="00C21B44"/>
    <w:rsid w:val="00C323F5"/>
    <w:rsid w:val="00C33946"/>
    <w:rsid w:val="00C474B2"/>
    <w:rsid w:val="00C76566"/>
    <w:rsid w:val="00C77123"/>
    <w:rsid w:val="00CC64B8"/>
    <w:rsid w:val="00D152F8"/>
    <w:rsid w:val="00DC0A33"/>
    <w:rsid w:val="00DD415D"/>
    <w:rsid w:val="00DD6E44"/>
    <w:rsid w:val="00DE7CFA"/>
    <w:rsid w:val="00DF099A"/>
    <w:rsid w:val="00EA0C99"/>
    <w:rsid w:val="00EB1638"/>
    <w:rsid w:val="00F038BB"/>
    <w:rsid w:val="00FB4503"/>
    <w:rsid w:val="00FB5D57"/>
    <w:rsid w:val="00FC23FA"/>
    <w:rsid w:val="00FD02E0"/>
    <w:rsid w:val="00FE6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e0b23"/>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CFA"/>
    <w:rPr>
      <w:sz w:val="24"/>
      <w:szCs w:val="24"/>
    </w:rPr>
  </w:style>
  <w:style w:type="paragraph" w:styleId="Heading1">
    <w:name w:val="heading 1"/>
    <w:basedOn w:val="Normal"/>
    <w:next w:val="Normal"/>
    <w:link w:val="Heading1Char"/>
    <w:uiPriority w:val="9"/>
    <w:qFormat/>
    <w:rsid w:val="00092E16"/>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7CFA"/>
    <w:rPr>
      <w:u w:val="single"/>
    </w:rPr>
  </w:style>
  <w:style w:type="paragraph" w:customStyle="1" w:styleId="Body">
    <w:name w:val="Body"/>
    <w:rsid w:val="00DE7CFA"/>
    <w:rPr>
      <w:rFonts w:ascii="Helvetica" w:hAnsi="Helvetica" w:cs="Arial Unicode MS"/>
      <w:color w:val="000000"/>
      <w:sz w:val="22"/>
      <w:szCs w:val="22"/>
    </w:rPr>
  </w:style>
  <w:style w:type="numbering" w:customStyle="1" w:styleId="Numbered">
    <w:name w:val="Numbered"/>
    <w:rsid w:val="00DE7CFA"/>
    <w:pPr>
      <w:numPr>
        <w:numId w:val="1"/>
      </w:numPr>
    </w:pPr>
  </w:style>
  <w:style w:type="paragraph" w:styleId="ListParagraph">
    <w:name w:val="List Paragraph"/>
    <w:basedOn w:val="Normal"/>
    <w:uiPriority w:val="34"/>
    <w:qFormat/>
    <w:rsid w:val="00EA0C99"/>
    <w:pPr>
      <w:ind w:left="720"/>
      <w:contextualSpacing/>
    </w:pPr>
  </w:style>
  <w:style w:type="paragraph" w:styleId="Header">
    <w:name w:val="header"/>
    <w:basedOn w:val="Normal"/>
    <w:link w:val="HeaderChar"/>
    <w:uiPriority w:val="99"/>
    <w:semiHidden/>
    <w:unhideWhenUsed/>
    <w:rsid w:val="00B45CE2"/>
    <w:pPr>
      <w:tabs>
        <w:tab w:val="center" w:pos="4680"/>
        <w:tab w:val="right" w:pos="9360"/>
      </w:tabs>
    </w:pPr>
  </w:style>
  <w:style w:type="character" w:customStyle="1" w:styleId="HeaderChar">
    <w:name w:val="Header Char"/>
    <w:basedOn w:val="DefaultParagraphFont"/>
    <w:link w:val="Header"/>
    <w:uiPriority w:val="99"/>
    <w:semiHidden/>
    <w:rsid w:val="00B45CE2"/>
    <w:rPr>
      <w:sz w:val="24"/>
      <w:szCs w:val="24"/>
    </w:rPr>
  </w:style>
  <w:style w:type="paragraph" w:styleId="Footer">
    <w:name w:val="footer"/>
    <w:basedOn w:val="Normal"/>
    <w:link w:val="FooterChar"/>
    <w:uiPriority w:val="99"/>
    <w:semiHidden/>
    <w:unhideWhenUsed/>
    <w:rsid w:val="00B45CE2"/>
    <w:pPr>
      <w:tabs>
        <w:tab w:val="center" w:pos="4680"/>
        <w:tab w:val="right" w:pos="9360"/>
      </w:tabs>
    </w:pPr>
  </w:style>
  <w:style w:type="character" w:customStyle="1" w:styleId="FooterChar">
    <w:name w:val="Footer Char"/>
    <w:basedOn w:val="DefaultParagraphFont"/>
    <w:link w:val="Footer"/>
    <w:uiPriority w:val="99"/>
    <w:semiHidden/>
    <w:rsid w:val="00B45CE2"/>
    <w:rPr>
      <w:sz w:val="24"/>
      <w:szCs w:val="24"/>
    </w:rPr>
  </w:style>
  <w:style w:type="table" w:styleId="TableGrid">
    <w:name w:val="Table Grid"/>
    <w:basedOn w:val="TableNormal"/>
    <w:uiPriority w:val="59"/>
    <w:rsid w:val="00B45C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C95"/>
    <w:rPr>
      <w:rFonts w:ascii="Tahoma" w:hAnsi="Tahoma" w:cs="Tahoma"/>
      <w:sz w:val="16"/>
      <w:szCs w:val="16"/>
    </w:rPr>
  </w:style>
  <w:style w:type="character" w:customStyle="1" w:styleId="BalloonTextChar">
    <w:name w:val="Balloon Text Char"/>
    <w:basedOn w:val="DefaultParagraphFont"/>
    <w:link w:val="BalloonText"/>
    <w:uiPriority w:val="99"/>
    <w:semiHidden/>
    <w:rsid w:val="003A4C95"/>
    <w:rPr>
      <w:rFonts w:ascii="Tahoma" w:hAnsi="Tahoma" w:cs="Tahoma"/>
      <w:sz w:val="16"/>
      <w:szCs w:val="16"/>
    </w:rPr>
  </w:style>
  <w:style w:type="paragraph" w:customStyle="1" w:styleId="normal0">
    <w:name w:val="normal"/>
    <w:rsid w:val="001416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customStyle="1" w:styleId="m-7961368979210098902gmail-yiv1022569757p1">
    <w:name w:val="m_-7961368979210098902gmail-yiv1022569757p1"/>
    <w:basedOn w:val="Normal"/>
    <w:rsid w:val="00C21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7961368979210098902gmail-yiv1022569757s1">
    <w:name w:val="m_-7961368979210098902gmail-yiv1022569757s1"/>
    <w:basedOn w:val="DefaultParagraphFont"/>
    <w:rsid w:val="00C21B44"/>
  </w:style>
  <w:style w:type="paragraph" w:customStyle="1" w:styleId="m-7961368979210098902gmail-yiv1022569757p2">
    <w:name w:val="m_-7961368979210098902gmail-yiv1022569757p2"/>
    <w:basedOn w:val="Normal"/>
    <w:rsid w:val="00C21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C21B44"/>
  </w:style>
  <w:style w:type="paragraph" w:customStyle="1" w:styleId="yiv1022569757p1">
    <w:name w:val="yiv1022569757p1"/>
    <w:basedOn w:val="Normal"/>
    <w:rsid w:val="00C21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yiv1022569757s1">
    <w:name w:val="yiv1022569757s1"/>
    <w:basedOn w:val="DefaultParagraphFont"/>
    <w:rsid w:val="00C21B44"/>
  </w:style>
  <w:style w:type="character" w:customStyle="1" w:styleId="yiv1022569757apple-converted-space">
    <w:name w:val="yiv1022569757apple-converted-space"/>
    <w:basedOn w:val="DefaultParagraphFont"/>
    <w:rsid w:val="00C21B44"/>
  </w:style>
  <w:style w:type="paragraph" w:customStyle="1" w:styleId="yiv1022569757p2">
    <w:name w:val="yiv1022569757p2"/>
    <w:basedOn w:val="Normal"/>
    <w:rsid w:val="00C21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0"/>
    <w:link w:val="TitleChar"/>
    <w:rsid w:val="00C21B44"/>
    <w:pPr>
      <w:keepNext/>
      <w:keepLines/>
      <w:spacing w:before="480" w:after="120" w:line="240" w:lineRule="auto"/>
      <w:contextualSpacing/>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C21B44"/>
    <w:rPr>
      <w:rFonts w:eastAsia="Times New Roman"/>
      <w:b/>
      <w:color w:val="000000"/>
      <w:sz w:val="72"/>
      <w:szCs w:val="72"/>
      <w:bdr w:val="none" w:sz="0" w:space="0" w:color="auto"/>
    </w:rPr>
  </w:style>
  <w:style w:type="character" w:customStyle="1" w:styleId="Heading1Char">
    <w:name w:val="Heading 1 Char"/>
    <w:basedOn w:val="DefaultParagraphFont"/>
    <w:link w:val="Heading1"/>
    <w:uiPriority w:val="9"/>
    <w:rsid w:val="00092E16"/>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092E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2">
    <w:name w:val="toc 2"/>
    <w:basedOn w:val="Normal"/>
    <w:next w:val="Normal"/>
    <w:autoRedefine/>
    <w:uiPriority w:val="39"/>
    <w:semiHidden/>
    <w:unhideWhenUsed/>
    <w:qFormat/>
    <w:rsid w:val="00092E1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rPr>
  </w:style>
  <w:style w:type="paragraph" w:styleId="TOC1">
    <w:name w:val="toc 1"/>
    <w:basedOn w:val="Normal"/>
    <w:next w:val="Normal"/>
    <w:autoRedefine/>
    <w:uiPriority w:val="39"/>
    <w:semiHidden/>
    <w:unhideWhenUsed/>
    <w:qFormat/>
    <w:rsid w:val="00092E1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rPr>
  </w:style>
  <w:style w:type="paragraph" w:styleId="TOC3">
    <w:name w:val="toc 3"/>
    <w:basedOn w:val="Normal"/>
    <w:next w:val="Normal"/>
    <w:autoRedefine/>
    <w:uiPriority w:val="39"/>
    <w:semiHidden/>
    <w:unhideWhenUsed/>
    <w:qFormat/>
    <w:rsid w:val="00092E1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rPr>
  </w:style>
  <w:style w:type="character" w:styleId="Strong">
    <w:name w:val="Strong"/>
    <w:basedOn w:val="DefaultParagraphFont"/>
    <w:uiPriority w:val="22"/>
    <w:qFormat/>
    <w:rsid w:val="00BA3041"/>
    <w:rPr>
      <w:b/>
      <w:bCs/>
    </w:rPr>
  </w:style>
  <w:style w:type="paragraph" w:styleId="NormalWeb">
    <w:name w:val="Normal (Web)"/>
    <w:basedOn w:val="Normal"/>
    <w:uiPriority w:val="99"/>
    <w:unhideWhenUsed/>
    <w:rsid w:val="00BA30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BA3041"/>
    <w:rPr>
      <w:i/>
      <w:iCs/>
    </w:rPr>
  </w:style>
</w:styles>
</file>

<file path=word/webSettings.xml><?xml version="1.0" encoding="utf-8"?>
<w:webSettings xmlns:r="http://schemas.openxmlformats.org/officeDocument/2006/relationships" xmlns:w="http://schemas.openxmlformats.org/wordprocessingml/2006/main">
  <w:divs>
    <w:div w:id="39941530">
      <w:bodyDiv w:val="1"/>
      <w:marLeft w:val="0"/>
      <w:marRight w:val="0"/>
      <w:marTop w:val="0"/>
      <w:marBottom w:val="0"/>
      <w:divBdr>
        <w:top w:val="none" w:sz="0" w:space="0" w:color="auto"/>
        <w:left w:val="none" w:sz="0" w:space="0" w:color="auto"/>
        <w:bottom w:val="none" w:sz="0" w:space="0" w:color="auto"/>
        <w:right w:val="none" w:sz="0" w:space="0" w:color="auto"/>
      </w:divBdr>
    </w:div>
    <w:div w:id="1715693621">
      <w:bodyDiv w:val="1"/>
      <w:marLeft w:val="0"/>
      <w:marRight w:val="0"/>
      <w:marTop w:val="0"/>
      <w:marBottom w:val="0"/>
      <w:divBdr>
        <w:top w:val="none" w:sz="0" w:space="0" w:color="auto"/>
        <w:left w:val="none" w:sz="0" w:space="0" w:color="auto"/>
        <w:bottom w:val="none" w:sz="0" w:space="0" w:color="auto"/>
        <w:right w:val="none" w:sz="0" w:space="0" w:color="auto"/>
      </w:divBdr>
    </w:div>
    <w:div w:id="19443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e\Google%20Drive\Tax%20planning\Financial%20Consultant%20Package\30%20Year%20Tax%20Deferral%20Estimator%20including%20ROI%20and%20Inflation%20Assump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lineChart>
        <c:grouping val="standard"/>
        <c:ser>
          <c:idx val="0"/>
          <c:order val="0"/>
          <c:tx>
            <c:v>Balance Over Time</c:v>
          </c:tx>
          <c:marker>
            <c:symbol val="none"/>
          </c:marker>
          <c:cat>
            <c:numRef>
              <c:f>'30-Year Projection'!$AK$32:$AK$62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'30-Year Projection'!$AN$32:$AN$62</c:f>
              <c:numCache>
                <c:formatCode>#,##0</c:formatCode>
                <c:ptCount val="31"/>
                <c:pt idx="0">
                  <c:v>100000</c:v>
                </c:pt>
                <c:pt idx="1">
                  <c:v>107000</c:v>
                </c:pt>
                <c:pt idx="2">
                  <c:v>114490</c:v>
                </c:pt>
                <c:pt idx="3">
                  <c:v>122504.3</c:v>
                </c:pt>
                <c:pt idx="4">
                  <c:v>131079.60100000002</c:v>
                </c:pt>
                <c:pt idx="5">
                  <c:v>140255.17307000011</c:v>
                </c:pt>
                <c:pt idx="6">
                  <c:v>150073.03518490007</c:v>
                </c:pt>
                <c:pt idx="7">
                  <c:v>160578.14764784311</c:v>
                </c:pt>
                <c:pt idx="8">
                  <c:v>171818.61798319226</c:v>
                </c:pt>
                <c:pt idx="9">
                  <c:v>183845.92124201558</c:v>
                </c:pt>
                <c:pt idx="10">
                  <c:v>196715.13572895681</c:v>
                </c:pt>
                <c:pt idx="11">
                  <c:v>210485.19522998386</c:v>
                </c:pt>
                <c:pt idx="12">
                  <c:v>225219.15889608255</c:v>
                </c:pt>
                <c:pt idx="13">
                  <c:v>240984.50001880835</c:v>
                </c:pt>
                <c:pt idx="14">
                  <c:v>257853.41502012496</c:v>
                </c:pt>
                <c:pt idx="15">
                  <c:v>275903.1540715337</c:v>
                </c:pt>
                <c:pt idx="16">
                  <c:v>295216.37485654082</c:v>
                </c:pt>
                <c:pt idx="17">
                  <c:v>315881.521096499</c:v>
                </c:pt>
                <c:pt idx="18">
                  <c:v>337993.22757325438</c:v>
                </c:pt>
                <c:pt idx="19">
                  <c:v>361652.75350338191</c:v>
                </c:pt>
                <c:pt idx="20">
                  <c:v>386968.44624861865</c:v>
                </c:pt>
                <c:pt idx="21">
                  <c:v>414056.23748602218</c:v>
                </c:pt>
                <c:pt idx="22">
                  <c:v>443040.17411004362</c:v>
                </c:pt>
                <c:pt idx="23">
                  <c:v>474052.9862977466</c:v>
                </c:pt>
                <c:pt idx="24">
                  <c:v>507236.69533858885</c:v>
                </c:pt>
                <c:pt idx="25">
                  <c:v>542743.26401228947</c:v>
                </c:pt>
                <c:pt idx="26">
                  <c:v>580735.29249314999</c:v>
                </c:pt>
                <c:pt idx="27">
                  <c:v>621386.76296767092</c:v>
                </c:pt>
                <c:pt idx="28">
                  <c:v>664883.83637540846</c:v>
                </c:pt>
                <c:pt idx="29">
                  <c:v>711425.70492168632</c:v>
                </c:pt>
                <c:pt idx="30">
                  <c:v>761225.50426620431</c:v>
                </c:pt>
              </c:numCache>
            </c:numRef>
          </c:val>
          <c:extLst xmlns:c16r2="http://schemas.microsoft.com/office/drawing/2015/06/chart">
            <c:ext xmlns:c16="http://schemas.microsoft.com/office/drawing/2014/chart" uri="{C3380CC4-5D6E-409C-BE32-E72D297353CC}">
              <c16:uniqueId val="{00000000-B7BA-4D51-99E4-B141B9C8F460}"/>
            </c:ext>
          </c:extLst>
        </c:ser>
        <c:ser>
          <c:idx val="1"/>
          <c:order val="1"/>
          <c:tx>
            <c:v>Effect of Inflation</c:v>
          </c:tx>
          <c:marker>
            <c:symbol val="none"/>
          </c:marker>
          <c:cat>
            <c:numRef>
              <c:f>'30-Year Projection'!$AK$32:$AK$62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'30-Year Projection'!$AQ$32:$AQ$62</c:f>
              <c:numCache>
                <c:formatCode>#,##0</c:formatCode>
                <c:ptCount val="31"/>
                <c:pt idx="0">
                  <c:v>100000</c:v>
                </c:pt>
                <c:pt idx="1">
                  <c:v>97000</c:v>
                </c:pt>
                <c:pt idx="2">
                  <c:v>94090</c:v>
                </c:pt>
                <c:pt idx="3">
                  <c:v>91267.3</c:v>
                </c:pt>
                <c:pt idx="4">
                  <c:v>88529.281000000003</c:v>
                </c:pt>
                <c:pt idx="5">
                  <c:v>85873.402569999918</c:v>
                </c:pt>
                <c:pt idx="6">
                  <c:v>83297.200492900025</c:v>
                </c:pt>
                <c:pt idx="7">
                  <c:v>80798.284478113012</c:v>
                </c:pt>
                <c:pt idx="8">
                  <c:v>78374.335943769547</c:v>
                </c:pt>
                <c:pt idx="9">
                  <c:v>76023.105865456528</c:v>
                </c:pt>
                <c:pt idx="10">
                  <c:v>73742.412689492703</c:v>
                </c:pt>
                <c:pt idx="11">
                  <c:v>71530.140308808055</c:v>
                </c:pt>
                <c:pt idx="12">
                  <c:v>69384.236099543778</c:v>
                </c:pt>
                <c:pt idx="13">
                  <c:v>67302.709016557477</c:v>
                </c:pt>
                <c:pt idx="14">
                  <c:v>65283.62774606068</c:v>
                </c:pt>
                <c:pt idx="15">
                  <c:v>63325.118913678976</c:v>
                </c:pt>
                <c:pt idx="16">
                  <c:v>61425.365346268562</c:v>
                </c:pt>
                <c:pt idx="17">
                  <c:v>59582.604385880484</c:v>
                </c:pt>
                <c:pt idx="18">
                  <c:v>57795.126254304116</c:v>
                </c:pt>
                <c:pt idx="19">
                  <c:v>56061.272466674956</c:v>
                </c:pt>
                <c:pt idx="20">
                  <c:v>54379.434292674712</c:v>
                </c:pt>
                <c:pt idx="21">
                  <c:v>52748.051263894493</c:v>
                </c:pt>
                <c:pt idx="22">
                  <c:v>51165.609725977592</c:v>
                </c:pt>
                <c:pt idx="23">
                  <c:v>49630.641434198296</c:v>
                </c:pt>
                <c:pt idx="24">
                  <c:v>48141.722191172325</c:v>
                </c:pt>
                <c:pt idx="25">
                  <c:v>46697.470525437202</c:v>
                </c:pt>
                <c:pt idx="26">
                  <c:v>45296.546409674062</c:v>
                </c:pt>
                <c:pt idx="27">
                  <c:v>43937.650017383843</c:v>
                </c:pt>
                <c:pt idx="28">
                  <c:v>42619.520516862314</c:v>
                </c:pt>
                <c:pt idx="29">
                  <c:v>41340.934901356442</c:v>
                </c:pt>
                <c:pt idx="30">
                  <c:v>40100.706854315751</c:v>
                </c:pt>
              </c:numCache>
            </c:numRef>
          </c:val>
          <c:extLst xmlns:c16r2="http://schemas.microsoft.com/office/drawing/2015/06/chart">
            <c:ext xmlns:c16="http://schemas.microsoft.com/office/drawing/2014/chart" uri="{C3380CC4-5D6E-409C-BE32-E72D297353CC}">
              <c16:uniqueId val="{00000001-B7BA-4D51-99E4-B141B9C8F460}"/>
            </c:ext>
          </c:extLst>
        </c:ser>
        <c:marker val="1"/>
        <c:axId val="188964864"/>
        <c:axId val="188966400"/>
      </c:lineChart>
      <c:catAx>
        <c:axId val="188964864"/>
        <c:scaling>
          <c:orientation val="minMax"/>
        </c:scaling>
        <c:axPos val="b"/>
        <c:numFmt formatCode="General" sourceLinked="1"/>
        <c:majorTickMark val="none"/>
        <c:tickLblPos val="nextTo"/>
        <c:txPr>
          <a:bodyPr rot="-60000000" vert="horz"/>
          <a:lstStyle/>
          <a:p>
            <a:pPr>
              <a:defRPr/>
            </a:pPr>
            <a:endParaRPr lang="en-US"/>
          </a:p>
        </c:txPr>
        <c:crossAx val="188966400"/>
        <c:crosses val="autoZero"/>
        <c:auto val="1"/>
        <c:lblAlgn val="ctr"/>
        <c:lblOffset val="100"/>
      </c:catAx>
      <c:valAx>
        <c:axId val="188966400"/>
        <c:scaling>
          <c:orientation val="minMax"/>
        </c:scaling>
        <c:axPos val="l"/>
        <c:numFmt formatCode="#,##0" sourceLinked="1"/>
        <c:majorTickMark val="none"/>
        <c:tickLblPos val="nextTo"/>
        <c:txPr>
          <a:bodyPr rot="-60000000" vert="horz"/>
          <a:lstStyle/>
          <a:p>
            <a:pPr>
              <a:defRPr/>
            </a:pPr>
            <a:endParaRPr lang="en-US"/>
          </a:p>
        </c:txPr>
        <c:crossAx val="188964864"/>
        <c:crosses val="autoZero"/>
        <c:crossBetween val="between"/>
        <c:majorUnit val="100000"/>
        <c:dispUnits>
          <c:builtInUnit val="thousands"/>
          <c:dispUnitsLbl>
            <c:layout>
              <c:manualLayout>
                <c:xMode val="edge"/>
                <c:yMode val="edge"/>
                <c:x val="2.0639834881320998E-2"/>
                <c:y val="0.27502750275027532"/>
              </c:manualLayout>
            </c:layout>
            <c:tx>
              <c:rich>
                <a:bodyPr rot="-5400000" vert="horz"/>
                <a:lstStyle/>
                <a:p>
                  <a:pPr>
                    <a:defRPr/>
                  </a:pPr>
                  <a:r>
                    <a:rPr lang="en-US"/>
                    <a:t>$Investment</a:t>
                  </a:r>
                </a:p>
              </c:rich>
            </c:tx>
          </c:dispUnitsLbl>
        </c:dispUnits>
      </c:valAx>
    </c:plotArea>
    <c:legend>
      <c:legendPos val="b"/>
      <c:txPr>
        <a:bodyPr rot="0" vert="horz"/>
        <a:lstStyle/>
        <a:p>
          <a:pPr>
            <a:defRPr/>
          </a:pPr>
          <a:endParaRPr lang="en-US"/>
        </a:p>
      </c:txPr>
    </c:legend>
    <c:plotVisOnly val="1"/>
    <c:dispBlanksAs val="gap"/>
  </c:chart>
  <c:spPr>
    <a:ln>
      <a:noFill/>
    </a:ln>
  </c:spPr>
  <c:txPr>
    <a:bodyPr/>
    <a:lstStyle/>
    <a:p>
      <a:pPr>
        <a:defRPr sz="700">
          <a:latin typeface="Arial" pitchFamily="34" charset="0"/>
          <a:cs typeface="Arial" pitchFamily="34" charset="0"/>
        </a:defRPr>
      </a:pPr>
      <a:endParaRPr lang="en-US"/>
    </a:p>
  </c:txPr>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E763-EA76-46DB-B2A6-5F3B922B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13</cp:revision>
  <cp:lastPrinted>2016-10-21T04:21:00Z</cp:lastPrinted>
  <dcterms:created xsi:type="dcterms:W3CDTF">2016-10-23T02:15:00Z</dcterms:created>
  <dcterms:modified xsi:type="dcterms:W3CDTF">2016-11-11T00:35:00Z</dcterms:modified>
</cp:coreProperties>
</file>